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7C8" w:rsidRDefault="00854DF0">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HRVATSKIH AUTOCESTA ZA  2025. GODINU I PROJEKCIJA PLANA ZA 2026. I 2027. GODINU</w:t>
      </w:r>
      <w:r>
        <w:rPr>
          <w:rFonts w:ascii="Calibri" w:hAnsi="Calibri" w:cs="Calibri"/>
          <w:b/>
          <w:sz w:val="28"/>
        </w:rPr>
        <w:br w:type="page"/>
      </w:r>
    </w:p>
    <w:p w:rsidR="008577C8" w:rsidRDefault="00854DF0">
      <w:pPr>
        <w:spacing w:line="240" w:lineRule="auto"/>
      </w:pPr>
      <w:r>
        <w:rPr>
          <w:rFonts w:ascii="Calibri" w:hAnsi="Calibri" w:cs="Calibri"/>
          <w:b/>
          <w:u w:val="single"/>
        </w:rPr>
        <w:lastRenderedPageBreak/>
        <w:br/>
        <w:t>UVOD</w:t>
      </w:r>
    </w:p>
    <w:p w:rsidR="008577C8" w:rsidRDefault="00854DF0">
      <w:pPr>
        <w:spacing w:line="240" w:lineRule="auto"/>
        <w:jc w:val="both"/>
      </w:pPr>
      <w:r>
        <w:rPr>
          <w:rFonts w:ascii="Calibri" w:hAnsi="Calibri" w:cs="Calibri"/>
        </w:rPr>
        <w:t>Trgovačko društvo Hrvatske autoceste d.o.o. upravlja autocestama, gradi ih, rekonstruira i održava, osim onih autocesta kojima upravlja koncesionar prema odredbama Zakona o cestama. Hrvatske autoceste d.o.o. su u 100%-tnom vlasništvu Republike Hrvatske koja svoja prava u Skupštini Društva ostvaruje putem Vlade Republike Hrvatske.</w:t>
      </w:r>
    </w:p>
    <w:p w:rsidR="008577C8" w:rsidRDefault="00854DF0">
      <w:pPr>
        <w:spacing w:line="240" w:lineRule="auto"/>
        <w:jc w:val="both"/>
      </w:pPr>
      <w:r>
        <w:rPr>
          <w:rFonts w:ascii="Calibri" w:hAnsi="Calibri" w:cs="Calibri"/>
        </w:rPr>
        <w:t>Hrvatske autoceste d.o.o. imaju status izvanproračunskog korisnika državnog proračuna te su suklad</w:t>
      </w:r>
      <w:r w:rsidR="0097647F">
        <w:rPr>
          <w:rFonts w:ascii="Calibri" w:hAnsi="Calibri" w:cs="Calibri"/>
        </w:rPr>
        <w:t xml:space="preserve">no odredbama Zakona o proračunu („Narodne Novine”, br. 144/21) </w:t>
      </w:r>
      <w:r>
        <w:rPr>
          <w:rFonts w:ascii="Calibri" w:hAnsi="Calibri" w:cs="Calibri"/>
        </w:rPr>
        <w:t>izradile Financijski plan za 2025. godinu i projekcije plana za 2026. i 2027. godinu na koji je Hrvatski sabor dao suglasnost na sjednici održanoj 6. prosinca 2024. godine.</w:t>
      </w:r>
      <w:bookmarkStart w:id="0" w:name="_GoBack"/>
      <w:bookmarkEnd w:id="0"/>
    </w:p>
    <w:p w:rsidR="008577C8" w:rsidRDefault="00854DF0">
      <w:pPr>
        <w:spacing w:line="240" w:lineRule="auto"/>
        <w:jc w:val="both"/>
      </w:pPr>
      <w:r>
        <w:rPr>
          <w:rFonts w:ascii="Calibri" w:hAnsi="Calibri" w:cs="Calibri"/>
        </w:rPr>
        <w:t>U nastavku slijedi obrazloženje</w:t>
      </w:r>
      <w:r w:rsidR="0051449B">
        <w:rPr>
          <w:rFonts w:ascii="Calibri" w:hAnsi="Calibri" w:cs="Calibri"/>
        </w:rPr>
        <w:t xml:space="preserve"> Prijedloga</w:t>
      </w:r>
      <w:r>
        <w:rPr>
          <w:rFonts w:ascii="Calibri" w:hAnsi="Calibri" w:cs="Calibri"/>
        </w:rPr>
        <w:t xml:space="preserve"> </w:t>
      </w:r>
      <w:r w:rsidR="00D93402">
        <w:rPr>
          <w:rFonts w:ascii="Calibri" w:hAnsi="Calibri" w:cs="Calibri"/>
        </w:rPr>
        <w:t>i</w:t>
      </w:r>
      <w:r>
        <w:rPr>
          <w:rFonts w:ascii="Calibri" w:hAnsi="Calibri" w:cs="Calibri"/>
        </w:rPr>
        <w:t>zmjena i dopuna Financijskog plana za 2025. godinu s naglaskom na odstupanja od usvojenog Plana.</w:t>
      </w:r>
    </w:p>
    <w:p w:rsidR="008577C8" w:rsidRDefault="00854DF0">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8577C8">
        <w:tc>
          <w:tcPr>
            <w:tcW w:w="2000" w:type="pct"/>
            <w:shd w:val="clear" w:color="auto" w:fill="BCDFFB"/>
            <w:vAlign w:val="center"/>
          </w:tcPr>
          <w:p w:rsidR="008577C8" w:rsidRDefault="008577C8">
            <w:pPr>
              <w:spacing w:after="0" w:line="240" w:lineRule="auto"/>
              <w:jc w:val="center"/>
            </w:pP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Plan za 2025.</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8577C8" w:rsidRDefault="00854DF0">
            <w:pPr>
              <w:spacing w:after="0" w:line="240" w:lineRule="auto"/>
              <w:jc w:val="center"/>
            </w:pPr>
            <w:r>
              <w:rPr>
                <w:rFonts w:ascii="Calibri" w:hAnsi="Calibri" w:cs="Calibri"/>
                <w:b/>
                <w:sz w:val="18"/>
              </w:rPr>
              <w:t>Indeks</w:t>
            </w:r>
          </w:p>
        </w:tc>
      </w:tr>
      <w:tr w:rsidR="008577C8">
        <w:tc>
          <w:tcPr>
            <w:tcW w:w="2000" w:type="pct"/>
            <w:vAlign w:val="bottom"/>
          </w:tcPr>
          <w:p w:rsidR="008577C8" w:rsidRDefault="00854DF0">
            <w:pPr>
              <w:spacing w:after="0" w:line="240" w:lineRule="auto"/>
            </w:pPr>
            <w:r>
              <w:rPr>
                <w:rFonts w:ascii="Calibri" w:hAnsi="Calibri" w:cs="Calibri"/>
                <w:sz w:val="18"/>
              </w:rPr>
              <w:t>PRIHODI POSLOVANJA</w:t>
            </w:r>
          </w:p>
        </w:tc>
        <w:tc>
          <w:tcPr>
            <w:tcW w:w="800" w:type="pct"/>
            <w:vAlign w:val="bottom"/>
          </w:tcPr>
          <w:p w:rsidR="008577C8" w:rsidRDefault="00854DF0">
            <w:pPr>
              <w:spacing w:after="0" w:line="240" w:lineRule="auto"/>
              <w:jc w:val="right"/>
            </w:pPr>
            <w:r>
              <w:rPr>
                <w:rFonts w:ascii="Calibri" w:hAnsi="Calibri" w:cs="Calibri"/>
                <w:sz w:val="18"/>
              </w:rPr>
              <w:t>528.202.707</w:t>
            </w:r>
          </w:p>
        </w:tc>
        <w:tc>
          <w:tcPr>
            <w:tcW w:w="800" w:type="pct"/>
            <w:vAlign w:val="bottom"/>
          </w:tcPr>
          <w:p w:rsidR="008577C8" w:rsidRDefault="00854DF0">
            <w:pPr>
              <w:spacing w:after="0" w:line="240" w:lineRule="auto"/>
              <w:jc w:val="right"/>
            </w:pPr>
            <w:r>
              <w:rPr>
                <w:rFonts w:ascii="Calibri" w:hAnsi="Calibri" w:cs="Calibri"/>
                <w:sz w:val="18"/>
              </w:rPr>
              <w:t>32.991.288</w:t>
            </w:r>
          </w:p>
        </w:tc>
        <w:tc>
          <w:tcPr>
            <w:tcW w:w="800" w:type="pct"/>
            <w:vAlign w:val="bottom"/>
          </w:tcPr>
          <w:p w:rsidR="008577C8" w:rsidRDefault="00854DF0">
            <w:pPr>
              <w:spacing w:after="0" w:line="240" w:lineRule="auto"/>
              <w:jc w:val="right"/>
            </w:pPr>
            <w:r>
              <w:rPr>
                <w:rFonts w:ascii="Calibri" w:hAnsi="Calibri" w:cs="Calibri"/>
                <w:sz w:val="18"/>
              </w:rPr>
              <w:t>561.193.995</w:t>
            </w:r>
          </w:p>
        </w:tc>
        <w:tc>
          <w:tcPr>
            <w:tcW w:w="400" w:type="pct"/>
            <w:vAlign w:val="bottom"/>
          </w:tcPr>
          <w:p w:rsidR="008577C8" w:rsidRDefault="00854DF0">
            <w:pPr>
              <w:spacing w:after="0" w:line="240" w:lineRule="auto"/>
              <w:jc w:val="right"/>
            </w:pPr>
            <w:r>
              <w:rPr>
                <w:rFonts w:ascii="Calibri" w:hAnsi="Calibri" w:cs="Calibri"/>
                <w:sz w:val="18"/>
              </w:rPr>
              <w:t>106,2</w:t>
            </w:r>
          </w:p>
        </w:tc>
      </w:tr>
      <w:tr w:rsidR="008577C8">
        <w:tc>
          <w:tcPr>
            <w:tcW w:w="2000" w:type="pct"/>
            <w:vAlign w:val="bottom"/>
          </w:tcPr>
          <w:p w:rsidR="008577C8" w:rsidRDefault="00854DF0">
            <w:pPr>
              <w:spacing w:after="0" w:line="240" w:lineRule="auto"/>
            </w:pPr>
            <w:r>
              <w:rPr>
                <w:rFonts w:ascii="Calibri" w:hAnsi="Calibri" w:cs="Calibri"/>
                <w:sz w:val="18"/>
              </w:rPr>
              <w:t>PRIHODI OD PRODAJE NEFINANCIJSKE IMOVINE</w:t>
            </w:r>
          </w:p>
        </w:tc>
        <w:tc>
          <w:tcPr>
            <w:tcW w:w="800" w:type="pct"/>
            <w:vAlign w:val="bottom"/>
          </w:tcPr>
          <w:p w:rsidR="008577C8" w:rsidRDefault="00854DF0">
            <w:pPr>
              <w:spacing w:after="0" w:line="240" w:lineRule="auto"/>
              <w:jc w:val="right"/>
            </w:pPr>
            <w:r>
              <w:rPr>
                <w:rFonts w:ascii="Calibri" w:hAnsi="Calibri" w:cs="Calibri"/>
                <w:sz w:val="18"/>
              </w:rPr>
              <w:t>0</w:t>
            </w:r>
          </w:p>
        </w:tc>
        <w:tc>
          <w:tcPr>
            <w:tcW w:w="800" w:type="pct"/>
            <w:vAlign w:val="bottom"/>
          </w:tcPr>
          <w:p w:rsidR="008577C8" w:rsidRDefault="00854DF0">
            <w:pPr>
              <w:spacing w:after="0" w:line="240" w:lineRule="auto"/>
              <w:jc w:val="right"/>
            </w:pPr>
            <w:r>
              <w:rPr>
                <w:rFonts w:ascii="Calibri" w:hAnsi="Calibri" w:cs="Calibri"/>
                <w:sz w:val="18"/>
              </w:rPr>
              <w:t>0</w:t>
            </w:r>
          </w:p>
        </w:tc>
        <w:tc>
          <w:tcPr>
            <w:tcW w:w="800" w:type="pct"/>
            <w:vAlign w:val="bottom"/>
          </w:tcPr>
          <w:p w:rsidR="008577C8" w:rsidRDefault="00854DF0">
            <w:pPr>
              <w:spacing w:after="0" w:line="240" w:lineRule="auto"/>
              <w:jc w:val="right"/>
            </w:pPr>
            <w:r>
              <w:rPr>
                <w:rFonts w:ascii="Calibri" w:hAnsi="Calibri" w:cs="Calibri"/>
                <w:sz w:val="18"/>
              </w:rPr>
              <w:t>0</w:t>
            </w:r>
          </w:p>
        </w:tc>
        <w:tc>
          <w:tcPr>
            <w:tcW w:w="400" w:type="pct"/>
            <w:vAlign w:val="bottom"/>
          </w:tcPr>
          <w:p w:rsidR="008577C8" w:rsidRDefault="008577C8">
            <w:pPr>
              <w:spacing w:after="0" w:line="240" w:lineRule="auto"/>
              <w:jc w:val="right"/>
            </w:pPr>
          </w:p>
        </w:tc>
      </w:tr>
      <w:tr w:rsidR="008577C8">
        <w:tc>
          <w:tcPr>
            <w:tcW w:w="2000" w:type="pct"/>
            <w:vAlign w:val="bottom"/>
          </w:tcPr>
          <w:p w:rsidR="008577C8" w:rsidRDefault="00854DF0">
            <w:pPr>
              <w:spacing w:after="0" w:line="240" w:lineRule="auto"/>
            </w:pPr>
            <w:r>
              <w:rPr>
                <w:rFonts w:ascii="Calibri" w:hAnsi="Calibri" w:cs="Calibri"/>
                <w:b/>
                <w:sz w:val="18"/>
              </w:rPr>
              <w:t>UKUPNI PRIHODI</w:t>
            </w:r>
          </w:p>
        </w:tc>
        <w:tc>
          <w:tcPr>
            <w:tcW w:w="800" w:type="pct"/>
            <w:vAlign w:val="bottom"/>
          </w:tcPr>
          <w:p w:rsidR="008577C8" w:rsidRDefault="00854DF0">
            <w:pPr>
              <w:spacing w:after="0" w:line="240" w:lineRule="auto"/>
              <w:jc w:val="right"/>
            </w:pPr>
            <w:r>
              <w:rPr>
                <w:rFonts w:ascii="Calibri" w:hAnsi="Calibri" w:cs="Calibri"/>
                <w:b/>
                <w:sz w:val="18"/>
              </w:rPr>
              <w:t>528.202.707</w:t>
            </w:r>
          </w:p>
        </w:tc>
        <w:tc>
          <w:tcPr>
            <w:tcW w:w="800" w:type="pct"/>
            <w:vAlign w:val="bottom"/>
          </w:tcPr>
          <w:p w:rsidR="008577C8" w:rsidRDefault="00854DF0">
            <w:pPr>
              <w:spacing w:after="0" w:line="240" w:lineRule="auto"/>
              <w:jc w:val="right"/>
            </w:pPr>
            <w:r>
              <w:rPr>
                <w:rFonts w:ascii="Calibri" w:hAnsi="Calibri" w:cs="Calibri"/>
                <w:b/>
                <w:sz w:val="18"/>
              </w:rPr>
              <w:t>32.991.288</w:t>
            </w:r>
          </w:p>
        </w:tc>
        <w:tc>
          <w:tcPr>
            <w:tcW w:w="800" w:type="pct"/>
            <w:vAlign w:val="bottom"/>
          </w:tcPr>
          <w:p w:rsidR="008577C8" w:rsidRDefault="00854DF0">
            <w:pPr>
              <w:spacing w:after="0" w:line="240" w:lineRule="auto"/>
              <w:jc w:val="right"/>
            </w:pPr>
            <w:r>
              <w:rPr>
                <w:rFonts w:ascii="Calibri" w:hAnsi="Calibri" w:cs="Calibri"/>
                <w:b/>
                <w:sz w:val="18"/>
              </w:rPr>
              <w:t>561.193.995</w:t>
            </w:r>
          </w:p>
        </w:tc>
        <w:tc>
          <w:tcPr>
            <w:tcW w:w="400" w:type="pct"/>
            <w:vAlign w:val="bottom"/>
          </w:tcPr>
          <w:p w:rsidR="008577C8" w:rsidRDefault="00854DF0">
            <w:pPr>
              <w:spacing w:after="0" w:line="240" w:lineRule="auto"/>
              <w:jc w:val="right"/>
            </w:pPr>
            <w:r>
              <w:rPr>
                <w:rFonts w:ascii="Calibri" w:hAnsi="Calibri" w:cs="Calibri"/>
                <w:b/>
                <w:sz w:val="18"/>
              </w:rPr>
              <w:t>106,2</w:t>
            </w:r>
          </w:p>
        </w:tc>
      </w:tr>
    </w:tbl>
    <w:p w:rsidR="008577C8" w:rsidRDefault="008577C8">
      <w:pPr>
        <w:spacing w:after="0" w:line="240" w:lineRule="auto"/>
      </w:pPr>
    </w:p>
    <w:p w:rsidR="008577C8" w:rsidRDefault="00854DF0">
      <w:pPr>
        <w:spacing w:line="240" w:lineRule="auto"/>
        <w:jc w:val="both"/>
      </w:pPr>
      <w:r>
        <w:rPr>
          <w:rFonts w:ascii="Calibri" w:hAnsi="Calibri" w:cs="Calibri"/>
        </w:rPr>
        <w:t>Ukupni planirani prihodi Hrvatskih</w:t>
      </w:r>
      <w:r w:rsidR="00D93402">
        <w:rPr>
          <w:rFonts w:ascii="Calibri" w:hAnsi="Calibri" w:cs="Calibri"/>
        </w:rPr>
        <w:t xml:space="preserve"> autocesta d.o.o. u Prijedlogu </w:t>
      </w:r>
      <w:r w:rsidR="007568D1">
        <w:rPr>
          <w:rFonts w:ascii="Calibri" w:hAnsi="Calibri" w:cs="Calibri"/>
        </w:rPr>
        <w:t>i</w:t>
      </w:r>
      <w:r>
        <w:rPr>
          <w:rFonts w:ascii="Calibri" w:hAnsi="Calibri" w:cs="Calibri"/>
        </w:rPr>
        <w:t xml:space="preserve">zmjena i dopuna Financijskog plana za 2025. godinu iznose 561.193.995 EUR, što predstavlja povećanje od 6,25% u odnosu na usvojeni Plan. </w:t>
      </w:r>
    </w:p>
    <w:p w:rsidR="008577C8" w:rsidRDefault="00854DF0">
      <w:pPr>
        <w:spacing w:line="240" w:lineRule="auto"/>
        <w:jc w:val="both"/>
      </w:pPr>
      <w:r>
        <w:rPr>
          <w:rFonts w:ascii="Calibri" w:hAnsi="Calibri" w:cs="Calibri"/>
        </w:rPr>
        <w:t>Skupina prihoda Pomoći iz inozemstva i od subjekata unutar općeg proračuna uključuje Kapitalne pomoći od institucija i tijela EU, Kapitalne pomoći proračunu i izvanproračunskim korisnicima iz drugih proračuna te Kapitalne pomoći temeljem prijenosa EU sredstava. Kapitalne pomoći od institucija i tijela EU smanjene su u odnosu na usvojeni Plan radi izmijenjene dinamike projekata kao i Kapitalne pomoći temeljem prijenosa EU sredstava koje su namijenjene za implementaciju novog elektroničkog sustava naplate cestarine, za što su sredstva osigurana Nacionalnim planom oporavka i otpornosti. Stavka Kapitalne pomoći proračunu i izvanproračunskim korisnicima iz drugih proračuna odnosi se na naknadu od trošarina na</w:t>
      </w:r>
      <w:r w:rsidR="00EC74B1">
        <w:rPr>
          <w:rFonts w:ascii="Calibri" w:hAnsi="Calibri" w:cs="Calibri"/>
        </w:rPr>
        <w:t xml:space="preserve"> energente koja se uplaćuje iz D</w:t>
      </w:r>
      <w:r>
        <w:rPr>
          <w:rFonts w:ascii="Calibri" w:hAnsi="Calibri" w:cs="Calibri"/>
        </w:rPr>
        <w:t>ržavnog proračuna na račun Hrvatskih autocesta d.o.o. i predstavlja sredstva kojima Republika Hrvatska financira građenje i održavanje javnih cesta te povrate kredita. Izmjenama i dopunama Fina</w:t>
      </w:r>
      <w:r w:rsidR="00EC74B1">
        <w:rPr>
          <w:rFonts w:ascii="Calibri" w:hAnsi="Calibri" w:cs="Calibri"/>
        </w:rPr>
        <w:t>ncijskog plana za 2025. godinu </w:t>
      </w:r>
      <w:r>
        <w:rPr>
          <w:rFonts w:ascii="Calibri" w:hAnsi="Calibri" w:cs="Calibri"/>
        </w:rPr>
        <w:t>naknada iz trošarina na energente u iznosu od 19.000.000 EUR nije mijenjana.</w:t>
      </w:r>
    </w:p>
    <w:p w:rsidR="008577C8" w:rsidRDefault="00854DF0">
      <w:pPr>
        <w:spacing w:line="240" w:lineRule="auto"/>
        <w:jc w:val="both"/>
      </w:pPr>
      <w:r>
        <w:rPr>
          <w:rFonts w:ascii="Calibri" w:hAnsi="Calibri" w:cs="Calibri"/>
        </w:rPr>
        <w:t>U ukupnim prihodima poslovanja Hrvatskih autocesta d.o.o. najveći dio odnosi se na Prihode od pruženih usluga, a čine ih prihod od naplate cestarine i prihod od usluge održavanja cesta koji su ovim planom uvećani za 63.381.475 EUR ili 14,29% radi provedene korekcije stimulativnih popusta za elektroničku naplatu cestarine (ENC) za teška vozila (III. i IV. skupina).</w:t>
      </w:r>
    </w:p>
    <w:p w:rsidR="008577C8" w:rsidRDefault="00854DF0">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8577C8">
        <w:tc>
          <w:tcPr>
            <w:tcW w:w="2000" w:type="pct"/>
            <w:shd w:val="clear" w:color="auto" w:fill="BCDFFB"/>
            <w:vAlign w:val="center"/>
          </w:tcPr>
          <w:p w:rsidR="008577C8" w:rsidRDefault="008577C8">
            <w:pPr>
              <w:spacing w:after="0" w:line="240" w:lineRule="auto"/>
              <w:jc w:val="center"/>
            </w:pP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Plan za 2025.</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8577C8" w:rsidRDefault="00854DF0">
            <w:pPr>
              <w:spacing w:after="0" w:line="240" w:lineRule="auto"/>
              <w:jc w:val="center"/>
            </w:pPr>
            <w:r>
              <w:rPr>
                <w:rFonts w:ascii="Calibri" w:hAnsi="Calibri" w:cs="Calibri"/>
                <w:b/>
                <w:sz w:val="18"/>
              </w:rPr>
              <w:t>Indeks</w:t>
            </w:r>
          </w:p>
        </w:tc>
      </w:tr>
      <w:tr w:rsidR="008577C8">
        <w:tc>
          <w:tcPr>
            <w:tcW w:w="2000" w:type="pct"/>
            <w:vAlign w:val="bottom"/>
          </w:tcPr>
          <w:p w:rsidR="008577C8" w:rsidRDefault="00854DF0">
            <w:pPr>
              <w:spacing w:after="0" w:line="240" w:lineRule="auto"/>
            </w:pPr>
            <w:r>
              <w:rPr>
                <w:rFonts w:ascii="Calibri" w:hAnsi="Calibri" w:cs="Calibri"/>
                <w:sz w:val="18"/>
              </w:rPr>
              <w:t>RASHODI POSLOVANJA</w:t>
            </w:r>
          </w:p>
        </w:tc>
        <w:tc>
          <w:tcPr>
            <w:tcW w:w="800" w:type="pct"/>
            <w:vAlign w:val="bottom"/>
          </w:tcPr>
          <w:p w:rsidR="008577C8" w:rsidRDefault="00854DF0">
            <w:pPr>
              <w:spacing w:after="0" w:line="240" w:lineRule="auto"/>
              <w:jc w:val="right"/>
            </w:pPr>
            <w:r>
              <w:rPr>
                <w:rFonts w:ascii="Calibri" w:hAnsi="Calibri" w:cs="Calibri"/>
                <w:sz w:val="18"/>
              </w:rPr>
              <w:t>289.835.304</w:t>
            </w:r>
          </w:p>
        </w:tc>
        <w:tc>
          <w:tcPr>
            <w:tcW w:w="800" w:type="pct"/>
            <w:vAlign w:val="bottom"/>
          </w:tcPr>
          <w:p w:rsidR="008577C8" w:rsidRDefault="00854DF0">
            <w:pPr>
              <w:spacing w:after="0" w:line="240" w:lineRule="auto"/>
              <w:jc w:val="right"/>
            </w:pPr>
            <w:r>
              <w:rPr>
                <w:rFonts w:ascii="Calibri" w:hAnsi="Calibri" w:cs="Calibri"/>
                <w:sz w:val="18"/>
              </w:rPr>
              <w:t>-22.533.102</w:t>
            </w:r>
          </w:p>
        </w:tc>
        <w:tc>
          <w:tcPr>
            <w:tcW w:w="800" w:type="pct"/>
            <w:vAlign w:val="bottom"/>
          </w:tcPr>
          <w:p w:rsidR="008577C8" w:rsidRDefault="00854DF0">
            <w:pPr>
              <w:spacing w:after="0" w:line="240" w:lineRule="auto"/>
              <w:jc w:val="right"/>
            </w:pPr>
            <w:r>
              <w:rPr>
                <w:rFonts w:ascii="Calibri" w:hAnsi="Calibri" w:cs="Calibri"/>
                <w:sz w:val="18"/>
              </w:rPr>
              <w:t>267.302.202</w:t>
            </w:r>
          </w:p>
        </w:tc>
        <w:tc>
          <w:tcPr>
            <w:tcW w:w="400" w:type="pct"/>
            <w:vAlign w:val="bottom"/>
          </w:tcPr>
          <w:p w:rsidR="008577C8" w:rsidRDefault="00854DF0">
            <w:pPr>
              <w:spacing w:after="0" w:line="240" w:lineRule="auto"/>
              <w:jc w:val="right"/>
            </w:pPr>
            <w:r>
              <w:rPr>
                <w:rFonts w:ascii="Calibri" w:hAnsi="Calibri" w:cs="Calibri"/>
                <w:sz w:val="18"/>
              </w:rPr>
              <w:t>92,2</w:t>
            </w:r>
          </w:p>
        </w:tc>
      </w:tr>
      <w:tr w:rsidR="008577C8">
        <w:tc>
          <w:tcPr>
            <w:tcW w:w="2000" w:type="pct"/>
            <w:vAlign w:val="bottom"/>
          </w:tcPr>
          <w:p w:rsidR="008577C8" w:rsidRDefault="00854DF0">
            <w:pPr>
              <w:spacing w:after="0" w:line="240" w:lineRule="auto"/>
            </w:pPr>
            <w:r>
              <w:rPr>
                <w:rFonts w:ascii="Calibri" w:hAnsi="Calibri" w:cs="Calibri"/>
                <w:sz w:val="18"/>
              </w:rPr>
              <w:t>RASHODI ZA NABAVU NEFINANCIJSKE IMOVINE</w:t>
            </w:r>
          </w:p>
        </w:tc>
        <w:tc>
          <w:tcPr>
            <w:tcW w:w="800" w:type="pct"/>
            <w:vAlign w:val="bottom"/>
          </w:tcPr>
          <w:p w:rsidR="008577C8" w:rsidRDefault="00854DF0">
            <w:pPr>
              <w:spacing w:after="0" w:line="240" w:lineRule="auto"/>
              <w:jc w:val="right"/>
            </w:pPr>
            <w:r>
              <w:rPr>
                <w:rFonts w:ascii="Calibri" w:hAnsi="Calibri" w:cs="Calibri"/>
                <w:sz w:val="18"/>
              </w:rPr>
              <w:t>132.460.968</w:t>
            </w:r>
          </w:p>
        </w:tc>
        <w:tc>
          <w:tcPr>
            <w:tcW w:w="800" w:type="pct"/>
            <w:vAlign w:val="bottom"/>
          </w:tcPr>
          <w:p w:rsidR="008577C8" w:rsidRDefault="00854DF0">
            <w:pPr>
              <w:spacing w:after="0" w:line="240" w:lineRule="auto"/>
              <w:jc w:val="right"/>
            </w:pPr>
            <w:r>
              <w:rPr>
                <w:rFonts w:ascii="Calibri" w:hAnsi="Calibri" w:cs="Calibri"/>
                <w:sz w:val="18"/>
              </w:rPr>
              <w:t>-16.671.143</w:t>
            </w:r>
          </w:p>
        </w:tc>
        <w:tc>
          <w:tcPr>
            <w:tcW w:w="800" w:type="pct"/>
            <w:vAlign w:val="bottom"/>
          </w:tcPr>
          <w:p w:rsidR="008577C8" w:rsidRDefault="00854DF0">
            <w:pPr>
              <w:spacing w:after="0" w:line="240" w:lineRule="auto"/>
              <w:jc w:val="right"/>
            </w:pPr>
            <w:r>
              <w:rPr>
                <w:rFonts w:ascii="Calibri" w:hAnsi="Calibri" w:cs="Calibri"/>
                <w:sz w:val="18"/>
              </w:rPr>
              <w:t>115.789.825</w:t>
            </w:r>
          </w:p>
        </w:tc>
        <w:tc>
          <w:tcPr>
            <w:tcW w:w="400" w:type="pct"/>
            <w:vAlign w:val="bottom"/>
          </w:tcPr>
          <w:p w:rsidR="008577C8" w:rsidRDefault="00854DF0">
            <w:pPr>
              <w:spacing w:after="0" w:line="240" w:lineRule="auto"/>
              <w:jc w:val="right"/>
            </w:pPr>
            <w:r>
              <w:rPr>
                <w:rFonts w:ascii="Calibri" w:hAnsi="Calibri" w:cs="Calibri"/>
                <w:sz w:val="18"/>
              </w:rPr>
              <w:t>87,4</w:t>
            </w:r>
          </w:p>
        </w:tc>
      </w:tr>
      <w:tr w:rsidR="008577C8">
        <w:tc>
          <w:tcPr>
            <w:tcW w:w="2000" w:type="pct"/>
            <w:vAlign w:val="bottom"/>
          </w:tcPr>
          <w:p w:rsidR="008577C8" w:rsidRDefault="00854DF0">
            <w:pPr>
              <w:spacing w:after="0" w:line="240" w:lineRule="auto"/>
            </w:pPr>
            <w:r>
              <w:rPr>
                <w:rFonts w:ascii="Calibri" w:hAnsi="Calibri" w:cs="Calibri"/>
                <w:b/>
                <w:sz w:val="18"/>
              </w:rPr>
              <w:t>UKUPNI RASHODI</w:t>
            </w:r>
          </w:p>
        </w:tc>
        <w:tc>
          <w:tcPr>
            <w:tcW w:w="800" w:type="pct"/>
            <w:vAlign w:val="bottom"/>
          </w:tcPr>
          <w:p w:rsidR="008577C8" w:rsidRDefault="00854DF0">
            <w:pPr>
              <w:spacing w:after="0" w:line="240" w:lineRule="auto"/>
              <w:jc w:val="right"/>
            </w:pPr>
            <w:r>
              <w:rPr>
                <w:rFonts w:ascii="Calibri" w:hAnsi="Calibri" w:cs="Calibri"/>
                <w:b/>
                <w:sz w:val="18"/>
              </w:rPr>
              <w:t>422.296.272</w:t>
            </w:r>
          </w:p>
        </w:tc>
        <w:tc>
          <w:tcPr>
            <w:tcW w:w="800" w:type="pct"/>
            <w:vAlign w:val="bottom"/>
          </w:tcPr>
          <w:p w:rsidR="008577C8" w:rsidRDefault="00854DF0">
            <w:pPr>
              <w:spacing w:after="0" w:line="240" w:lineRule="auto"/>
              <w:jc w:val="right"/>
            </w:pPr>
            <w:r>
              <w:rPr>
                <w:rFonts w:ascii="Calibri" w:hAnsi="Calibri" w:cs="Calibri"/>
                <w:b/>
                <w:sz w:val="18"/>
              </w:rPr>
              <w:t>-39.204.245</w:t>
            </w:r>
          </w:p>
        </w:tc>
        <w:tc>
          <w:tcPr>
            <w:tcW w:w="800" w:type="pct"/>
            <w:vAlign w:val="bottom"/>
          </w:tcPr>
          <w:p w:rsidR="008577C8" w:rsidRDefault="00854DF0">
            <w:pPr>
              <w:spacing w:after="0" w:line="240" w:lineRule="auto"/>
              <w:jc w:val="right"/>
            </w:pPr>
            <w:r>
              <w:rPr>
                <w:rFonts w:ascii="Calibri" w:hAnsi="Calibri" w:cs="Calibri"/>
                <w:b/>
                <w:sz w:val="18"/>
              </w:rPr>
              <w:t>383.092.027</w:t>
            </w:r>
          </w:p>
        </w:tc>
        <w:tc>
          <w:tcPr>
            <w:tcW w:w="400" w:type="pct"/>
            <w:vAlign w:val="bottom"/>
          </w:tcPr>
          <w:p w:rsidR="008577C8" w:rsidRDefault="00854DF0">
            <w:pPr>
              <w:spacing w:after="0" w:line="240" w:lineRule="auto"/>
              <w:jc w:val="right"/>
            </w:pPr>
            <w:r>
              <w:rPr>
                <w:rFonts w:ascii="Calibri" w:hAnsi="Calibri" w:cs="Calibri"/>
                <w:b/>
                <w:sz w:val="18"/>
              </w:rPr>
              <w:t>90,7</w:t>
            </w:r>
          </w:p>
        </w:tc>
      </w:tr>
    </w:tbl>
    <w:p w:rsidR="008577C8" w:rsidRDefault="008577C8">
      <w:pPr>
        <w:spacing w:after="0" w:line="240" w:lineRule="auto"/>
      </w:pPr>
    </w:p>
    <w:p w:rsidR="008577C8" w:rsidRDefault="00D93402">
      <w:pPr>
        <w:spacing w:line="240" w:lineRule="auto"/>
        <w:jc w:val="both"/>
      </w:pPr>
      <w:r>
        <w:rPr>
          <w:rFonts w:ascii="Calibri" w:hAnsi="Calibri" w:cs="Calibri"/>
        </w:rPr>
        <w:t>Ukupni rashodi u Prijedlogu i</w:t>
      </w:r>
      <w:r w:rsidR="00854DF0">
        <w:rPr>
          <w:rFonts w:ascii="Calibri" w:hAnsi="Calibri" w:cs="Calibri"/>
        </w:rPr>
        <w:t xml:space="preserve">zmjena i dopuna Financijskog plana iznose 383.092.027 EUR i smanjeni su u odnosu na usvojeni Plan za 39.204.245 EUR ili 9,28%. </w:t>
      </w:r>
      <w:r>
        <w:rPr>
          <w:rFonts w:ascii="Calibri" w:hAnsi="Calibri" w:cs="Calibri"/>
        </w:rPr>
        <w:t>Prijedlogom i</w:t>
      </w:r>
      <w:r w:rsidR="00EC74B1">
        <w:rPr>
          <w:rFonts w:ascii="Calibri" w:hAnsi="Calibri" w:cs="Calibri"/>
        </w:rPr>
        <w:t>zmjena i dopuna</w:t>
      </w:r>
      <w:r w:rsidR="00854DF0">
        <w:rPr>
          <w:rFonts w:ascii="Calibri" w:hAnsi="Calibri" w:cs="Calibri"/>
        </w:rPr>
        <w:t xml:space="preserve"> </w:t>
      </w:r>
      <w:r w:rsidR="00EC74B1">
        <w:rPr>
          <w:rFonts w:ascii="Calibri" w:hAnsi="Calibri" w:cs="Calibri"/>
        </w:rPr>
        <w:t xml:space="preserve">Financijskog </w:t>
      </w:r>
      <w:r w:rsidR="00854DF0">
        <w:rPr>
          <w:rFonts w:ascii="Calibri" w:hAnsi="Calibri" w:cs="Calibri"/>
        </w:rPr>
        <w:t xml:space="preserve">Plana </w:t>
      </w:r>
      <w:r w:rsidR="00854DF0">
        <w:rPr>
          <w:rFonts w:ascii="Calibri" w:hAnsi="Calibri" w:cs="Calibri"/>
        </w:rPr>
        <w:lastRenderedPageBreak/>
        <w:t>smanjeni su i rashodi poslovanja i rashodi za nabavu nefinancijske imovine, a posljednji prvenstveno u dijelu Programa građenja i izvanrednog održavanja autocesta te je prvotno planiranih 122.256.340 EUR rashoda za Program građenja i izvanrednog održavanja autocesta smanjeno za 16.414.113 EUR te sada iznosi 105.842.227 EUR. Nabava nefinancijske imovine za potrebe održavanja i upravljanja Društvom smanjena je za 257.030 EUR stoga ukupno smanjenje rashoda za nabavu nefinancijske imovine iznosi 16.671.143 EUR. Sukladno usvojenom Planu nastavljaju se investicijske aktivnosti na izgradnji autoceste A5 Granica Republike Mađarske - Beli Manastir - Osijek - Svilaj, autoceste A7 Rupa - Rijeka - Žuta Lokva, sektor Križišće - Žuta Lokva, dionica od km 17+500,00 do km 25+144,55, a osim izgradnje trase autoceste u tijeku su radovi na dogradnji drugog kolnika autoceste A8 s čvorom Matulji - Opatija, uređenju mreže odmorišta na autocestama (odmorište Zagreb, Kraljeva Velika, Stari Grabovac), a dovršeni su radovi na rekonstrukciji i dogradnji čvora Orehovica na autocesti A6 koji je u svibnju pušten u promet. U cilju produljena vijeka trajanja imovine te poboljšanja kvalitete i sigurnosti cestovnog prometa kontinuirano se izvode radovi izvanrednog održavanja (Rashodi za dodatna ulaganja na nefinancijskoj imovini) koji obuhvaćaju obnovu i rekonstrukciju kolničke konstrukcije i objekata, sanaciju odvodnje, prometne opreme i signalizacije, aktivnosti na uvođenju inteligentnih transportnih sustava i drugo.</w:t>
      </w:r>
    </w:p>
    <w:p w:rsidR="008577C8" w:rsidRDefault="00854DF0">
      <w:pPr>
        <w:spacing w:line="240" w:lineRule="auto"/>
        <w:jc w:val="both"/>
      </w:pPr>
      <w:r>
        <w:rPr>
          <w:rFonts w:ascii="Calibri" w:hAnsi="Calibri" w:cs="Calibri"/>
        </w:rPr>
        <w:t>Rashodi poslovanja smanjeni su za 22.533.102 EUR ili 7,77%, a smanjenje se najvećim dijelom odnosi na rashode za kamate za primljene kredite i zajmove radi primjene manje referentne kamatne stope koja se koristi za određivanje promjenjivog dijela varijabilne kamatne stope u svim kreditnim zaduženjima Društva (Euribora), u odnosu na planiranu. Materijalni rashodi smanjeni su u dijelu troškova energenata, usluga za održavanje i intelektualnih usluga za odvjetničke usluge i održavanje licenci, dok su rashodi za zaposlene veći u dijelu plaća radi provedene korekcije za rast potrošačkih cijena u Republici Hrvatskoj te u dijelu neoporezivih primitaka, a sukladno VII. dodatku Kolektivnom ugovoru iz srpnja 2025. godine.</w:t>
      </w:r>
    </w:p>
    <w:p w:rsidR="008577C8" w:rsidRDefault="00854DF0">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8577C8">
        <w:tc>
          <w:tcPr>
            <w:tcW w:w="2000" w:type="pct"/>
            <w:shd w:val="clear" w:color="auto" w:fill="BCDFFB"/>
            <w:vAlign w:val="center"/>
          </w:tcPr>
          <w:p w:rsidR="008577C8" w:rsidRDefault="008577C8">
            <w:pPr>
              <w:spacing w:after="0" w:line="240" w:lineRule="auto"/>
              <w:jc w:val="center"/>
            </w:pP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Plan za 2025.</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8577C8" w:rsidRDefault="00854DF0">
            <w:pPr>
              <w:spacing w:after="0" w:line="240" w:lineRule="auto"/>
              <w:jc w:val="center"/>
            </w:pPr>
            <w:r>
              <w:rPr>
                <w:rFonts w:ascii="Calibri" w:hAnsi="Calibri" w:cs="Calibri"/>
                <w:b/>
                <w:sz w:val="18"/>
              </w:rPr>
              <w:t>Indeks</w:t>
            </w:r>
          </w:p>
        </w:tc>
      </w:tr>
      <w:tr w:rsidR="008577C8">
        <w:tc>
          <w:tcPr>
            <w:tcW w:w="2000" w:type="pct"/>
            <w:vAlign w:val="bottom"/>
          </w:tcPr>
          <w:p w:rsidR="008577C8" w:rsidRDefault="00854DF0">
            <w:pPr>
              <w:spacing w:after="0" w:line="240" w:lineRule="auto"/>
            </w:pPr>
            <w:r>
              <w:rPr>
                <w:rFonts w:ascii="Calibri" w:hAnsi="Calibri" w:cs="Calibri"/>
                <w:sz w:val="18"/>
              </w:rPr>
              <w:t>UKUPNI PRIHODI</w:t>
            </w:r>
          </w:p>
        </w:tc>
        <w:tc>
          <w:tcPr>
            <w:tcW w:w="800" w:type="pct"/>
            <w:vAlign w:val="bottom"/>
          </w:tcPr>
          <w:p w:rsidR="008577C8" w:rsidRDefault="00854DF0">
            <w:pPr>
              <w:spacing w:after="0" w:line="240" w:lineRule="auto"/>
              <w:jc w:val="right"/>
            </w:pPr>
            <w:r>
              <w:rPr>
                <w:rFonts w:ascii="Calibri" w:hAnsi="Calibri" w:cs="Calibri"/>
                <w:sz w:val="18"/>
              </w:rPr>
              <w:t>528.202.707</w:t>
            </w:r>
          </w:p>
        </w:tc>
        <w:tc>
          <w:tcPr>
            <w:tcW w:w="800" w:type="pct"/>
            <w:vAlign w:val="bottom"/>
          </w:tcPr>
          <w:p w:rsidR="008577C8" w:rsidRDefault="00854DF0">
            <w:pPr>
              <w:spacing w:after="0" w:line="240" w:lineRule="auto"/>
              <w:jc w:val="right"/>
            </w:pPr>
            <w:r>
              <w:rPr>
                <w:rFonts w:ascii="Calibri" w:hAnsi="Calibri" w:cs="Calibri"/>
                <w:sz w:val="18"/>
              </w:rPr>
              <w:t>32.991.288</w:t>
            </w:r>
          </w:p>
        </w:tc>
        <w:tc>
          <w:tcPr>
            <w:tcW w:w="800" w:type="pct"/>
            <w:vAlign w:val="bottom"/>
          </w:tcPr>
          <w:p w:rsidR="008577C8" w:rsidRDefault="00854DF0">
            <w:pPr>
              <w:spacing w:after="0" w:line="240" w:lineRule="auto"/>
              <w:jc w:val="right"/>
            </w:pPr>
            <w:r>
              <w:rPr>
                <w:rFonts w:ascii="Calibri" w:hAnsi="Calibri" w:cs="Calibri"/>
                <w:sz w:val="18"/>
              </w:rPr>
              <w:t>561.193.995</w:t>
            </w:r>
          </w:p>
        </w:tc>
        <w:tc>
          <w:tcPr>
            <w:tcW w:w="400" w:type="pct"/>
            <w:vAlign w:val="bottom"/>
          </w:tcPr>
          <w:p w:rsidR="008577C8" w:rsidRDefault="00854DF0">
            <w:pPr>
              <w:spacing w:after="0" w:line="240" w:lineRule="auto"/>
              <w:jc w:val="right"/>
            </w:pPr>
            <w:r>
              <w:rPr>
                <w:rFonts w:ascii="Calibri" w:hAnsi="Calibri" w:cs="Calibri"/>
                <w:sz w:val="18"/>
              </w:rPr>
              <w:t>106,2</w:t>
            </w:r>
          </w:p>
        </w:tc>
      </w:tr>
      <w:tr w:rsidR="008577C8">
        <w:tc>
          <w:tcPr>
            <w:tcW w:w="2000" w:type="pct"/>
            <w:vAlign w:val="bottom"/>
          </w:tcPr>
          <w:p w:rsidR="008577C8" w:rsidRDefault="00854DF0">
            <w:pPr>
              <w:spacing w:after="0" w:line="240" w:lineRule="auto"/>
            </w:pPr>
            <w:r>
              <w:rPr>
                <w:rFonts w:ascii="Calibri" w:hAnsi="Calibri" w:cs="Calibri"/>
                <w:sz w:val="18"/>
              </w:rPr>
              <w:t>UKUPNI RASHODI</w:t>
            </w:r>
          </w:p>
        </w:tc>
        <w:tc>
          <w:tcPr>
            <w:tcW w:w="800" w:type="pct"/>
            <w:vAlign w:val="bottom"/>
          </w:tcPr>
          <w:p w:rsidR="008577C8" w:rsidRDefault="00854DF0">
            <w:pPr>
              <w:spacing w:after="0" w:line="240" w:lineRule="auto"/>
              <w:jc w:val="right"/>
            </w:pPr>
            <w:r>
              <w:rPr>
                <w:rFonts w:ascii="Calibri" w:hAnsi="Calibri" w:cs="Calibri"/>
                <w:sz w:val="18"/>
              </w:rPr>
              <w:t>422.296.272</w:t>
            </w:r>
          </w:p>
        </w:tc>
        <w:tc>
          <w:tcPr>
            <w:tcW w:w="800" w:type="pct"/>
            <w:vAlign w:val="bottom"/>
          </w:tcPr>
          <w:p w:rsidR="008577C8" w:rsidRDefault="00854DF0">
            <w:pPr>
              <w:spacing w:after="0" w:line="240" w:lineRule="auto"/>
              <w:jc w:val="right"/>
            </w:pPr>
            <w:r>
              <w:rPr>
                <w:rFonts w:ascii="Calibri" w:hAnsi="Calibri" w:cs="Calibri"/>
                <w:sz w:val="18"/>
              </w:rPr>
              <w:t>-39.204.245</w:t>
            </w:r>
          </w:p>
        </w:tc>
        <w:tc>
          <w:tcPr>
            <w:tcW w:w="800" w:type="pct"/>
            <w:vAlign w:val="bottom"/>
          </w:tcPr>
          <w:p w:rsidR="008577C8" w:rsidRDefault="00854DF0">
            <w:pPr>
              <w:spacing w:after="0" w:line="240" w:lineRule="auto"/>
              <w:jc w:val="right"/>
            </w:pPr>
            <w:r>
              <w:rPr>
                <w:rFonts w:ascii="Calibri" w:hAnsi="Calibri" w:cs="Calibri"/>
                <w:sz w:val="18"/>
              </w:rPr>
              <w:t>383.092.027</w:t>
            </w:r>
          </w:p>
        </w:tc>
        <w:tc>
          <w:tcPr>
            <w:tcW w:w="400" w:type="pct"/>
            <w:vAlign w:val="bottom"/>
          </w:tcPr>
          <w:p w:rsidR="008577C8" w:rsidRDefault="00854DF0">
            <w:pPr>
              <w:spacing w:after="0" w:line="240" w:lineRule="auto"/>
              <w:jc w:val="right"/>
            </w:pPr>
            <w:r>
              <w:rPr>
                <w:rFonts w:ascii="Calibri" w:hAnsi="Calibri" w:cs="Calibri"/>
                <w:sz w:val="18"/>
              </w:rPr>
              <w:t>90,7</w:t>
            </w:r>
          </w:p>
        </w:tc>
      </w:tr>
      <w:tr w:rsidR="008577C8">
        <w:tc>
          <w:tcPr>
            <w:tcW w:w="2000" w:type="pct"/>
            <w:vAlign w:val="bottom"/>
          </w:tcPr>
          <w:p w:rsidR="008577C8" w:rsidRDefault="00854DF0">
            <w:pPr>
              <w:spacing w:after="0" w:line="240" w:lineRule="auto"/>
            </w:pPr>
            <w:r>
              <w:rPr>
                <w:rFonts w:ascii="Calibri" w:hAnsi="Calibri" w:cs="Calibri"/>
                <w:b/>
                <w:sz w:val="18"/>
              </w:rPr>
              <w:t>RAZLIKA - VIŠAK/MANJAK</w:t>
            </w:r>
          </w:p>
        </w:tc>
        <w:tc>
          <w:tcPr>
            <w:tcW w:w="800" w:type="pct"/>
            <w:vAlign w:val="bottom"/>
          </w:tcPr>
          <w:p w:rsidR="008577C8" w:rsidRDefault="00854DF0">
            <w:pPr>
              <w:spacing w:after="0" w:line="240" w:lineRule="auto"/>
              <w:jc w:val="right"/>
            </w:pPr>
            <w:r>
              <w:rPr>
                <w:rFonts w:ascii="Calibri" w:hAnsi="Calibri" w:cs="Calibri"/>
                <w:b/>
                <w:sz w:val="18"/>
              </w:rPr>
              <w:t>105.906.435</w:t>
            </w:r>
          </w:p>
        </w:tc>
        <w:tc>
          <w:tcPr>
            <w:tcW w:w="800" w:type="pct"/>
            <w:vAlign w:val="bottom"/>
          </w:tcPr>
          <w:p w:rsidR="008577C8" w:rsidRDefault="00854DF0">
            <w:pPr>
              <w:spacing w:after="0" w:line="240" w:lineRule="auto"/>
              <w:jc w:val="right"/>
            </w:pPr>
            <w:r>
              <w:rPr>
                <w:rFonts w:ascii="Calibri" w:hAnsi="Calibri" w:cs="Calibri"/>
                <w:b/>
                <w:sz w:val="18"/>
              </w:rPr>
              <w:t>72.195.533</w:t>
            </w:r>
          </w:p>
        </w:tc>
        <w:tc>
          <w:tcPr>
            <w:tcW w:w="800" w:type="pct"/>
            <w:vAlign w:val="bottom"/>
          </w:tcPr>
          <w:p w:rsidR="008577C8" w:rsidRDefault="00854DF0">
            <w:pPr>
              <w:spacing w:after="0" w:line="240" w:lineRule="auto"/>
              <w:jc w:val="right"/>
            </w:pPr>
            <w:r>
              <w:rPr>
                <w:rFonts w:ascii="Calibri" w:hAnsi="Calibri" w:cs="Calibri"/>
                <w:b/>
                <w:sz w:val="18"/>
              </w:rPr>
              <w:t>178.101.968</w:t>
            </w:r>
          </w:p>
        </w:tc>
        <w:tc>
          <w:tcPr>
            <w:tcW w:w="400" w:type="pct"/>
            <w:vAlign w:val="bottom"/>
          </w:tcPr>
          <w:p w:rsidR="008577C8" w:rsidRDefault="00854DF0">
            <w:pPr>
              <w:spacing w:after="0" w:line="240" w:lineRule="auto"/>
              <w:jc w:val="right"/>
            </w:pPr>
            <w:r>
              <w:rPr>
                <w:rFonts w:ascii="Calibri" w:hAnsi="Calibri" w:cs="Calibri"/>
                <w:b/>
                <w:sz w:val="18"/>
              </w:rPr>
              <w:t>168,2</w:t>
            </w:r>
          </w:p>
        </w:tc>
      </w:tr>
    </w:tbl>
    <w:p w:rsidR="008577C8" w:rsidRDefault="008577C8">
      <w:pPr>
        <w:spacing w:after="0" w:line="240" w:lineRule="auto"/>
      </w:pPr>
    </w:p>
    <w:p w:rsidR="008577C8" w:rsidRDefault="00854DF0">
      <w:pPr>
        <w:spacing w:line="240" w:lineRule="auto"/>
        <w:jc w:val="both"/>
      </w:pPr>
      <w:r>
        <w:rPr>
          <w:rFonts w:ascii="Calibri" w:hAnsi="Calibri" w:cs="Calibri"/>
        </w:rPr>
        <w:t xml:space="preserve">Prijedlogom </w:t>
      </w:r>
      <w:r w:rsidR="00D93402">
        <w:rPr>
          <w:rFonts w:ascii="Calibri" w:hAnsi="Calibri" w:cs="Calibri"/>
        </w:rPr>
        <w:t>i</w:t>
      </w:r>
      <w:r>
        <w:rPr>
          <w:rFonts w:ascii="Calibri" w:hAnsi="Calibri" w:cs="Calibri"/>
        </w:rPr>
        <w:t>zmjena i dopuna Financijskog plana Hrvatskih autocesta za 2025. godinu prihodi i rashodi poslovanja rezultiraju viškom koji se u odnosu na usvojeni plan povećava za 72.195.533 EUR i sada iznosi 178.101.968 EUR.</w:t>
      </w:r>
    </w:p>
    <w:p w:rsidR="008577C8" w:rsidRDefault="00854DF0">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8577C8">
        <w:tc>
          <w:tcPr>
            <w:tcW w:w="2000" w:type="pct"/>
            <w:shd w:val="clear" w:color="auto" w:fill="BCDFFB"/>
            <w:vAlign w:val="center"/>
          </w:tcPr>
          <w:p w:rsidR="008577C8" w:rsidRDefault="008577C8">
            <w:pPr>
              <w:spacing w:after="0" w:line="240" w:lineRule="auto"/>
              <w:jc w:val="center"/>
            </w:pP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Plan za 2025.</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8577C8" w:rsidRDefault="00854DF0">
            <w:pPr>
              <w:spacing w:after="0" w:line="240" w:lineRule="auto"/>
              <w:jc w:val="center"/>
            </w:pPr>
            <w:r>
              <w:rPr>
                <w:rFonts w:ascii="Calibri" w:hAnsi="Calibri" w:cs="Calibri"/>
                <w:b/>
                <w:sz w:val="18"/>
              </w:rPr>
              <w:t>Novi plan za</w:t>
            </w:r>
            <w:r>
              <w:rPr>
                <w:rFonts w:ascii="Calibri" w:hAnsi="Calibri" w:cs="Calibri"/>
                <w:b/>
                <w:sz w:val="18"/>
              </w:rPr>
              <w:br/>
              <w:t>2025.</w:t>
            </w:r>
          </w:p>
        </w:tc>
        <w:tc>
          <w:tcPr>
            <w:tcW w:w="400" w:type="pct"/>
            <w:shd w:val="clear" w:color="auto" w:fill="BCDFFB"/>
            <w:vAlign w:val="center"/>
          </w:tcPr>
          <w:p w:rsidR="008577C8" w:rsidRDefault="00854DF0">
            <w:pPr>
              <w:spacing w:after="0" w:line="240" w:lineRule="auto"/>
              <w:jc w:val="center"/>
            </w:pPr>
            <w:r>
              <w:rPr>
                <w:rFonts w:ascii="Calibri" w:hAnsi="Calibri" w:cs="Calibri"/>
                <w:b/>
                <w:sz w:val="18"/>
              </w:rPr>
              <w:t>Indeks</w:t>
            </w:r>
          </w:p>
        </w:tc>
      </w:tr>
      <w:tr w:rsidR="008577C8">
        <w:tc>
          <w:tcPr>
            <w:tcW w:w="2000" w:type="pct"/>
            <w:vAlign w:val="bottom"/>
          </w:tcPr>
          <w:p w:rsidR="008577C8" w:rsidRDefault="00854DF0">
            <w:pPr>
              <w:spacing w:after="0" w:line="240" w:lineRule="auto"/>
            </w:pPr>
            <w:r>
              <w:rPr>
                <w:rFonts w:ascii="Calibri" w:hAnsi="Calibri" w:cs="Calibri"/>
                <w:sz w:val="18"/>
              </w:rPr>
              <w:t>PRIMICI OD FINANCIJSKE IMOVINE I ZADUŽIVANJA</w:t>
            </w:r>
          </w:p>
        </w:tc>
        <w:tc>
          <w:tcPr>
            <w:tcW w:w="800" w:type="pct"/>
            <w:vAlign w:val="bottom"/>
          </w:tcPr>
          <w:p w:rsidR="008577C8" w:rsidRDefault="00854DF0">
            <w:pPr>
              <w:spacing w:after="0" w:line="240" w:lineRule="auto"/>
              <w:jc w:val="right"/>
            </w:pPr>
            <w:r>
              <w:rPr>
                <w:rFonts w:ascii="Calibri" w:hAnsi="Calibri" w:cs="Calibri"/>
                <w:sz w:val="18"/>
              </w:rPr>
              <w:t>23.000.000</w:t>
            </w:r>
          </w:p>
        </w:tc>
        <w:tc>
          <w:tcPr>
            <w:tcW w:w="800" w:type="pct"/>
            <w:vAlign w:val="bottom"/>
          </w:tcPr>
          <w:p w:rsidR="008577C8" w:rsidRDefault="00854DF0">
            <w:pPr>
              <w:spacing w:after="0" w:line="240" w:lineRule="auto"/>
              <w:jc w:val="right"/>
            </w:pPr>
            <w:r>
              <w:rPr>
                <w:rFonts w:ascii="Calibri" w:hAnsi="Calibri" w:cs="Calibri"/>
                <w:sz w:val="18"/>
              </w:rPr>
              <w:t>1.165.505</w:t>
            </w:r>
          </w:p>
        </w:tc>
        <w:tc>
          <w:tcPr>
            <w:tcW w:w="800" w:type="pct"/>
            <w:vAlign w:val="bottom"/>
          </w:tcPr>
          <w:p w:rsidR="008577C8" w:rsidRDefault="00854DF0">
            <w:pPr>
              <w:spacing w:after="0" w:line="240" w:lineRule="auto"/>
              <w:jc w:val="right"/>
            </w:pPr>
            <w:r>
              <w:rPr>
                <w:rFonts w:ascii="Calibri" w:hAnsi="Calibri" w:cs="Calibri"/>
                <w:sz w:val="18"/>
              </w:rPr>
              <w:t>24.165.505</w:t>
            </w:r>
          </w:p>
        </w:tc>
        <w:tc>
          <w:tcPr>
            <w:tcW w:w="400" w:type="pct"/>
            <w:vAlign w:val="bottom"/>
          </w:tcPr>
          <w:p w:rsidR="008577C8" w:rsidRDefault="00854DF0">
            <w:pPr>
              <w:spacing w:after="0" w:line="240" w:lineRule="auto"/>
              <w:jc w:val="right"/>
            </w:pPr>
            <w:r>
              <w:rPr>
                <w:rFonts w:ascii="Calibri" w:hAnsi="Calibri" w:cs="Calibri"/>
                <w:sz w:val="18"/>
              </w:rPr>
              <w:t>105,1</w:t>
            </w:r>
          </w:p>
        </w:tc>
      </w:tr>
      <w:tr w:rsidR="008577C8">
        <w:tc>
          <w:tcPr>
            <w:tcW w:w="2000" w:type="pct"/>
            <w:vAlign w:val="bottom"/>
          </w:tcPr>
          <w:p w:rsidR="008577C8" w:rsidRDefault="00854DF0">
            <w:pPr>
              <w:spacing w:after="0" w:line="240" w:lineRule="auto"/>
            </w:pPr>
            <w:r>
              <w:rPr>
                <w:rFonts w:ascii="Calibri" w:hAnsi="Calibri" w:cs="Calibri"/>
                <w:sz w:val="18"/>
              </w:rPr>
              <w:t>IZDACI ZA FINANCIJSKU IMOVINU I OTPLATE ZAJMOVA</w:t>
            </w:r>
          </w:p>
        </w:tc>
        <w:tc>
          <w:tcPr>
            <w:tcW w:w="800" w:type="pct"/>
            <w:vAlign w:val="bottom"/>
          </w:tcPr>
          <w:p w:rsidR="008577C8" w:rsidRDefault="00854DF0">
            <w:pPr>
              <w:spacing w:after="0" w:line="240" w:lineRule="auto"/>
              <w:jc w:val="right"/>
            </w:pPr>
            <w:r>
              <w:rPr>
                <w:rFonts w:ascii="Calibri" w:hAnsi="Calibri" w:cs="Calibri"/>
                <w:sz w:val="18"/>
              </w:rPr>
              <w:t>95.771.291</w:t>
            </w:r>
          </w:p>
        </w:tc>
        <w:tc>
          <w:tcPr>
            <w:tcW w:w="800" w:type="pct"/>
            <w:vAlign w:val="bottom"/>
          </w:tcPr>
          <w:p w:rsidR="008577C8" w:rsidRDefault="00854DF0">
            <w:pPr>
              <w:spacing w:after="0" w:line="240" w:lineRule="auto"/>
              <w:jc w:val="right"/>
            </w:pPr>
            <w:r>
              <w:rPr>
                <w:rFonts w:ascii="Calibri" w:hAnsi="Calibri" w:cs="Calibri"/>
                <w:sz w:val="18"/>
              </w:rPr>
              <w:t>-1.420.194</w:t>
            </w:r>
          </w:p>
        </w:tc>
        <w:tc>
          <w:tcPr>
            <w:tcW w:w="800" w:type="pct"/>
            <w:vAlign w:val="bottom"/>
          </w:tcPr>
          <w:p w:rsidR="008577C8" w:rsidRDefault="00854DF0">
            <w:pPr>
              <w:spacing w:after="0" w:line="240" w:lineRule="auto"/>
              <w:jc w:val="right"/>
            </w:pPr>
            <w:r>
              <w:rPr>
                <w:rFonts w:ascii="Calibri" w:hAnsi="Calibri" w:cs="Calibri"/>
                <w:sz w:val="18"/>
              </w:rPr>
              <w:t>94.351.097</w:t>
            </w:r>
          </w:p>
        </w:tc>
        <w:tc>
          <w:tcPr>
            <w:tcW w:w="400" w:type="pct"/>
            <w:vAlign w:val="bottom"/>
          </w:tcPr>
          <w:p w:rsidR="008577C8" w:rsidRDefault="00854DF0">
            <w:pPr>
              <w:spacing w:after="0" w:line="240" w:lineRule="auto"/>
              <w:jc w:val="right"/>
            </w:pPr>
            <w:r>
              <w:rPr>
                <w:rFonts w:ascii="Calibri" w:hAnsi="Calibri" w:cs="Calibri"/>
                <w:sz w:val="18"/>
              </w:rPr>
              <w:t>98,5</w:t>
            </w:r>
          </w:p>
        </w:tc>
      </w:tr>
      <w:tr w:rsidR="008577C8">
        <w:tc>
          <w:tcPr>
            <w:tcW w:w="2000" w:type="pct"/>
            <w:vAlign w:val="bottom"/>
          </w:tcPr>
          <w:p w:rsidR="008577C8" w:rsidRDefault="00854DF0">
            <w:pPr>
              <w:spacing w:after="0" w:line="240" w:lineRule="auto"/>
            </w:pPr>
            <w:r>
              <w:rPr>
                <w:rFonts w:ascii="Calibri" w:hAnsi="Calibri" w:cs="Calibri"/>
                <w:sz w:val="18"/>
              </w:rPr>
              <w:t>RAZLIKA PRIMITAKA I IZDATAKA</w:t>
            </w:r>
          </w:p>
        </w:tc>
        <w:tc>
          <w:tcPr>
            <w:tcW w:w="800" w:type="pct"/>
            <w:vAlign w:val="bottom"/>
          </w:tcPr>
          <w:p w:rsidR="008577C8" w:rsidRDefault="00854DF0">
            <w:pPr>
              <w:spacing w:after="0" w:line="240" w:lineRule="auto"/>
              <w:jc w:val="right"/>
            </w:pPr>
            <w:r>
              <w:rPr>
                <w:rFonts w:ascii="Calibri" w:hAnsi="Calibri" w:cs="Calibri"/>
                <w:sz w:val="18"/>
              </w:rPr>
              <w:t>-72.771.291</w:t>
            </w:r>
          </w:p>
        </w:tc>
        <w:tc>
          <w:tcPr>
            <w:tcW w:w="800" w:type="pct"/>
            <w:vAlign w:val="bottom"/>
          </w:tcPr>
          <w:p w:rsidR="008577C8" w:rsidRDefault="00854DF0">
            <w:pPr>
              <w:spacing w:after="0" w:line="240" w:lineRule="auto"/>
              <w:jc w:val="right"/>
            </w:pPr>
            <w:r>
              <w:rPr>
                <w:rFonts w:ascii="Calibri" w:hAnsi="Calibri" w:cs="Calibri"/>
                <w:sz w:val="18"/>
              </w:rPr>
              <w:t>2.585.699</w:t>
            </w:r>
          </w:p>
        </w:tc>
        <w:tc>
          <w:tcPr>
            <w:tcW w:w="800" w:type="pct"/>
            <w:vAlign w:val="bottom"/>
          </w:tcPr>
          <w:p w:rsidR="008577C8" w:rsidRDefault="00854DF0">
            <w:pPr>
              <w:spacing w:after="0" w:line="240" w:lineRule="auto"/>
              <w:jc w:val="right"/>
            </w:pPr>
            <w:r>
              <w:rPr>
                <w:rFonts w:ascii="Calibri" w:hAnsi="Calibri" w:cs="Calibri"/>
                <w:sz w:val="18"/>
              </w:rPr>
              <w:t>-70.185.592</w:t>
            </w:r>
          </w:p>
        </w:tc>
        <w:tc>
          <w:tcPr>
            <w:tcW w:w="400" w:type="pct"/>
            <w:vAlign w:val="bottom"/>
          </w:tcPr>
          <w:p w:rsidR="008577C8" w:rsidRDefault="00854DF0">
            <w:pPr>
              <w:spacing w:after="0" w:line="240" w:lineRule="auto"/>
              <w:jc w:val="right"/>
            </w:pPr>
            <w:r>
              <w:rPr>
                <w:rFonts w:ascii="Calibri" w:hAnsi="Calibri" w:cs="Calibri"/>
                <w:sz w:val="18"/>
              </w:rPr>
              <w:t>96,4</w:t>
            </w:r>
          </w:p>
        </w:tc>
      </w:tr>
      <w:tr w:rsidR="008577C8">
        <w:tc>
          <w:tcPr>
            <w:tcW w:w="2000" w:type="pct"/>
            <w:vAlign w:val="bottom"/>
          </w:tcPr>
          <w:p w:rsidR="008577C8" w:rsidRDefault="00854DF0">
            <w:pPr>
              <w:spacing w:after="0" w:line="240" w:lineRule="auto"/>
            </w:pPr>
            <w:r>
              <w:rPr>
                <w:rFonts w:ascii="Calibri" w:hAnsi="Calibri" w:cs="Calibri"/>
                <w:sz w:val="18"/>
              </w:rPr>
              <w:t>PRIJENOS SREDSTAVA IZ PRETHODNE GODINE</w:t>
            </w:r>
          </w:p>
        </w:tc>
        <w:tc>
          <w:tcPr>
            <w:tcW w:w="800" w:type="pct"/>
            <w:vAlign w:val="bottom"/>
          </w:tcPr>
          <w:p w:rsidR="008577C8" w:rsidRDefault="00854DF0">
            <w:pPr>
              <w:spacing w:after="0" w:line="240" w:lineRule="auto"/>
              <w:jc w:val="right"/>
            </w:pPr>
            <w:r>
              <w:rPr>
                <w:rFonts w:ascii="Calibri" w:hAnsi="Calibri" w:cs="Calibri"/>
                <w:sz w:val="18"/>
              </w:rPr>
              <w:t>238.700.000</w:t>
            </w:r>
          </w:p>
        </w:tc>
        <w:tc>
          <w:tcPr>
            <w:tcW w:w="800" w:type="pct"/>
            <w:vAlign w:val="bottom"/>
          </w:tcPr>
          <w:p w:rsidR="008577C8" w:rsidRDefault="00854DF0">
            <w:pPr>
              <w:spacing w:after="0" w:line="240" w:lineRule="auto"/>
              <w:jc w:val="right"/>
            </w:pPr>
            <w:r>
              <w:rPr>
                <w:rFonts w:ascii="Calibri" w:hAnsi="Calibri" w:cs="Calibri"/>
                <w:sz w:val="18"/>
              </w:rPr>
              <w:t>-182.688.688</w:t>
            </w:r>
          </w:p>
        </w:tc>
        <w:tc>
          <w:tcPr>
            <w:tcW w:w="800" w:type="pct"/>
            <w:vAlign w:val="bottom"/>
          </w:tcPr>
          <w:p w:rsidR="008577C8" w:rsidRDefault="00854DF0">
            <w:pPr>
              <w:spacing w:after="0" w:line="240" w:lineRule="auto"/>
              <w:jc w:val="right"/>
            </w:pPr>
            <w:r>
              <w:rPr>
                <w:rFonts w:ascii="Calibri" w:hAnsi="Calibri" w:cs="Calibri"/>
                <w:sz w:val="18"/>
              </w:rPr>
              <w:t>56.011.312</w:t>
            </w:r>
          </w:p>
        </w:tc>
        <w:tc>
          <w:tcPr>
            <w:tcW w:w="400" w:type="pct"/>
            <w:vAlign w:val="bottom"/>
          </w:tcPr>
          <w:p w:rsidR="008577C8" w:rsidRDefault="00854DF0">
            <w:pPr>
              <w:spacing w:after="0" w:line="240" w:lineRule="auto"/>
              <w:jc w:val="right"/>
            </w:pPr>
            <w:r>
              <w:rPr>
                <w:rFonts w:ascii="Calibri" w:hAnsi="Calibri" w:cs="Calibri"/>
                <w:sz w:val="18"/>
              </w:rPr>
              <w:t>23,5</w:t>
            </w:r>
          </w:p>
        </w:tc>
      </w:tr>
      <w:tr w:rsidR="008577C8">
        <w:tc>
          <w:tcPr>
            <w:tcW w:w="2000" w:type="pct"/>
            <w:vAlign w:val="bottom"/>
          </w:tcPr>
          <w:p w:rsidR="008577C8" w:rsidRDefault="00854DF0">
            <w:pPr>
              <w:spacing w:after="0" w:line="240" w:lineRule="auto"/>
            </w:pPr>
            <w:r>
              <w:rPr>
                <w:rFonts w:ascii="Calibri" w:hAnsi="Calibri" w:cs="Calibri"/>
                <w:sz w:val="18"/>
              </w:rPr>
              <w:t>PRIJENOS SREDSTAVA U SLJEDEĆU GODINU</w:t>
            </w:r>
          </w:p>
        </w:tc>
        <w:tc>
          <w:tcPr>
            <w:tcW w:w="800" w:type="pct"/>
            <w:vAlign w:val="bottom"/>
          </w:tcPr>
          <w:p w:rsidR="008577C8" w:rsidRDefault="00854DF0">
            <w:pPr>
              <w:spacing w:after="0" w:line="240" w:lineRule="auto"/>
              <w:jc w:val="right"/>
            </w:pPr>
            <w:r>
              <w:rPr>
                <w:rFonts w:ascii="Calibri" w:hAnsi="Calibri" w:cs="Calibri"/>
                <w:sz w:val="18"/>
              </w:rPr>
              <w:t>-271.835.144</w:t>
            </w:r>
          </w:p>
        </w:tc>
        <w:tc>
          <w:tcPr>
            <w:tcW w:w="800" w:type="pct"/>
            <w:vAlign w:val="bottom"/>
          </w:tcPr>
          <w:p w:rsidR="008577C8" w:rsidRDefault="00854DF0">
            <w:pPr>
              <w:spacing w:after="0" w:line="240" w:lineRule="auto"/>
              <w:jc w:val="right"/>
            </w:pPr>
            <w:r>
              <w:rPr>
                <w:rFonts w:ascii="Calibri" w:hAnsi="Calibri" w:cs="Calibri"/>
                <w:sz w:val="18"/>
              </w:rPr>
              <w:t>107.907.456</w:t>
            </w:r>
          </w:p>
        </w:tc>
        <w:tc>
          <w:tcPr>
            <w:tcW w:w="800" w:type="pct"/>
            <w:vAlign w:val="bottom"/>
          </w:tcPr>
          <w:p w:rsidR="008577C8" w:rsidRDefault="00854DF0">
            <w:pPr>
              <w:spacing w:after="0" w:line="240" w:lineRule="auto"/>
              <w:jc w:val="right"/>
            </w:pPr>
            <w:r>
              <w:rPr>
                <w:rFonts w:ascii="Calibri" w:hAnsi="Calibri" w:cs="Calibri"/>
                <w:sz w:val="18"/>
              </w:rPr>
              <w:t>-163.927.688</w:t>
            </w:r>
          </w:p>
        </w:tc>
        <w:tc>
          <w:tcPr>
            <w:tcW w:w="400" w:type="pct"/>
            <w:vAlign w:val="bottom"/>
          </w:tcPr>
          <w:p w:rsidR="008577C8" w:rsidRDefault="00854DF0">
            <w:pPr>
              <w:spacing w:after="0" w:line="240" w:lineRule="auto"/>
              <w:jc w:val="right"/>
            </w:pPr>
            <w:r>
              <w:rPr>
                <w:rFonts w:ascii="Calibri" w:hAnsi="Calibri" w:cs="Calibri"/>
                <w:sz w:val="18"/>
              </w:rPr>
              <w:t>60,3</w:t>
            </w:r>
          </w:p>
        </w:tc>
      </w:tr>
      <w:tr w:rsidR="008577C8">
        <w:tc>
          <w:tcPr>
            <w:tcW w:w="2000" w:type="pct"/>
            <w:vAlign w:val="bottom"/>
          </w:tcPr>
          <w:p w:rsidR="008577C8" w:rsidRDefault="00854DF0">
            <w:pPr>
              <w:spacing w:after="0" w:line="240" w:lineRule="auto"/>
            </w:pPr>
            <w:r>
              <w:rPr>
                <w:rFonts w:ascii="Calibri" w:hAnsi="Calibri" w:cs="Calibri"/>
                <w:b/>
                <w:sz w:val="18"/>
              </w:rPr>
              <w:t>NETO FINANCIRANJE</w:t>
            </w:r>
          </w:p>
        </w:tc>
        <w:tc>
          <w:tcPr>
            <w:tcW w:w="800" w:type="pct"/>
            <w:vAlign w:val="bottom"/>
          </w:tcPr>
          <w:p w:rsidR="008577C8" w:rsidRDefault="00854DF0">
            <w:pPr>
              <w:spacing w:after="0" w:line="240" w:lineRule="auto"/>
              <w:jc w:val="right"/>
            </w:pPr>
            <w:r>
              <w:rPr>
                <w:rFonts w:ascii="Calibri" w:hAnsi="Calibri" w:cs="Calibri"/>
                <w:b/>
                <w:sz w:val="18"/>
              </w:rPr>
              <w:t>-105.906.435</w:t>
            </w:r>
          </w:p>
        </w:tc>
        <w:tc>
          <w:tcPr>
            <w:tcW w:w="800" w:type="pct"/>
            <w:vAlign w:val="bottom"/>
          </w:tcPr>
          <w:p w:rsidR="008577C8" w:rsidRDefault="00854DF0">
            <w:pPr>
              <w:spacing w:after="0" w:line="240" w:lineRule="auto"/>
              <w:jc w:val="right"/>
            </w:pPr>
            <w:r>
              <w:rPr>
                <w:rFonts w:ascii="Calibri" w:hAnsi="Calibri" w:cs="Calibri"/>
                <w:b/>
                <w:sz w:val="18"/>
              </w:rPr>
              <w:t>-72.195.533</w:t>
            </w:r>
          </w:p>
        </w:tc>
        <w:tc>
          <w:tcPr>
            <w:tcW w:w="800" w:type="pct"/>
            <w:vAlign w:val="bottom"/>
          </w:tcPr>
          <w:p w:rsidR="008577C8" w:rsidRDefault="00854DF0">
            <w:pPr>
              <w:spacing w:after="0" w:line="240" w:lineRule="auto"/>
              <w:jc w:val="right"/>
            </w:pPr>
            <w:r>
              <w:rPr>
                <w:rFonts w:ascii="Calibri" w:hAnsi="Calibri" w:cs="Calibri"/>
                <w:b/>
                <w:sz w:val="18"/>
              </w:rPr>
              <w:t>-178.101.968</w:t>
            </w:r>
          </w:p>
        </w:tc>
        <w:tc>
          <w:tcPr>
            <w:tcW w:w="400" w:type="pct"/>
            <w:vAlign w:val="bottom"/>
          </w:tcPr>
          <w:p w:rsidR="008577C8" w:rsidRDefault="00854DF0">
            <w:pPr>
              <w:spacing w:after="0" w:line="240" w:lineRule="auto"/>
              <w:jc w:val="right"/>
            </w:pPr>
            <w:r>
              <w:rPr>
                <w:rFonts w:ascii="Calibri" w:hAnsi="Calibri" w:cs="Calibri"/>
                <w:b/>
                <w:sz w:val="18"/>
              </w:rPr>
              <w:t>168,2</w:t>
            </w:r>
          </w:p>
        </w:tc>
      </w:tr>
    </w:tbl>
    <w:p w:rsidR="008577C8" w:rsidRDefault="008577C8">
      <w:pPr>
        <w:spacing w:after="0" w:line="240" w:lineRule="auto"/>
      </w:pPr>
    </w:p>
    <w:p w:rsidR="008577C8" w:rsidRDefault="00854DF0">
      <w:pPr>
        <w:spacing w:line="240" w:lineRule="auto"/>
        <w:jc w:val="both"/>
      </w:pPr>
      <w:r>
        <w:rPr>
          <w:rFonts w:ascii="Calibri" w:hAnsi="Calibri" w:cs="Calibri"/>
        </w:rPr>
        <w:t xml:space="preserve">U </w:t>
      </w:r>
      <w:r w:rsidR="00D93402">
        <w:rPr>
          <w:rFonts w:ascii="Calibri" w:hAnsi="Calibri" w:cs="Calibri"/>
        </w:rPr>
        <w:t>Prijedlogu i</w:t>
      </w:r>
      <w:r w:rsidR="0051449B">
        <w:rPr>
          <w:rFonts w:ascii="Calibri" w:hAnsi="Calibri" w:cs="Calibri"/>
        </w:rPr>
        <w:t>zmjena i dopuna</w:t>
      </w:r>
      <w:r>
        <w:rPr>
          <w:rFonts w:ascii="Calibri" w:hAnsi="Calibri" w:cs="Calibri"/>
        </w:rPr>
        <w:t xml:space="preserve"> Financijskog plana za 2025. godinu otplate glavnice planirane su sukladno postojećim, ugovorenim otplatnim planovima u iznosu od 94.351.097 EUR, a primici od zaduživanja planirani su sukcesivno, prema planiranoj dinamici građevinskih radova na izgradnji dionice granica Republike Mađarske - Beli Manastir na Autocesti A5 i dionice Selce - Novi Vinodolski na Autocesti A7 u iznosu od 24.165.505 EUR.</w:t>
      </w:r>
    </w:p>
    <w:p w:rsidR="008577C8" w:rsidRDefault="00854DF0">
      <w:pPr>
        <w:spacing w:line="240" w:lineRule="auto"/>
        <w:jc w:val="both"/>
      </w:pPr>
      <w:r>
        <w:rPr>
          <w:rFonts w:ascii="Calibri" w:hAnsi="Calibri" w:cs="Calibri"/>
        </w:rPr>
        <w:lastRenderedPageBreak/>
        <w:t>Prijenos sredstava u iduću godinu planiran je u iznosu od 163.927.688 EUR, a ne uključuje stanje oročenih depozita na kraju 2025. godine u iznosu 193.000.000 EUR.</w:t>
      </w:r>
    </w:p>
    <w:sectPr w:rsidR="008577C8">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1B5" w:rsidRDefault="00854DF0">
      <w:pPr>
        <w:spacing w:after="0" w:line="240" w:lineRule="auto"/>
      </w:pPr>
      <w:r>
        <w:separator/>
      </w:r>
    </w:p>
  </w:endnote>
  <w:endnote w:type="continuationSeparator" w:id="0">
    <w:p w:rsidR="00A071B5" w:rsidRDefault="0085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7C8" w:rsidRDefault="00854DF0">
    <w:pPr>
      <w:jc w:val="right"/>
    </w:pPr>
    <w:r>
      <w:fldChar w:fldCharType="begin"/>
    </w:r>
    <w:r>
      <w:instrText>Page</w:instrText>
    </w:r>
    <w:r>
      <w:fldChar w:fldCharType="separate"/>
    </w:r>
    <w:r w:rsidR="007568D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1B5" w:rsidRDefault="00854DF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1B5" w:rsidRDefault="00854DF0">
      <w:pPr>
        <w:spacing w:after="0" w:line="240" w:lineRule="auto"/>
      </w:pPr>
      <w:r>
        <w:separator/>
      </w:r>
    </w:p>
  </w:footnote>
  <w:footnote w:type="continuationSeparator" w:id="0">
    <w:p w:rsidR="00A071B5" w:rsidRDefault="00854D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577C8"/>
    <w:rsid w:val="0032723D"/>
    <w:rsid w:val="0051449B"/>
    <w:rsid w:val="007568D1"/>
    <w:rsid w:val="00854DF0"/>
    <w:rsid w:val="008577C8"/>
    <w:rsid w:val="0097647F"/>
    <w:rsid w:val="00A071B5"/>
    <w:rsid w:val="00D93402"/>
    <w:rsid w:val="00EC74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B3E5"/>
  <w15:docId w15:val="{ED777D02-710A-48E7-B042-37785B2E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7568D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568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1067</Words>
  <Characters>6086</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10</cp:revision>
  <cp:lastPrinted>2025-10-01T12:08:00Z</cp:lastPrinted>
  <dcterms:created xsi:type="dcterms:W3CDTF">2025-10-01T07:50:00Z</dcterms:created>
  <dcterms:modified xsi:type="dcterms:W3CDTF">2025-10-01T12:09:00Z</dcterms:modified>
</cp:coreProperties>
</file>